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contextualSpacing/>
        <w:jc w:val="center"/>
        <w:spacing w:after="0" w:line="24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предоставлении социальных услуг в стационарной форме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contextualSpacing/>
        <w:jc w:val="center"/>
        <w:spacing w:after="0" w:line="24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102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678"/>
        <w:gridCol w:w="284"/>
        <w:gridCol w:w="567"/>
        <w:gridCol w:w="236"/>
        <w:gridCol w:w="1980"/>
        <w:gridCol w:w="6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9" w:type="dxa"/>
            <w:textDirection w:val="lrTb"/>
            <w:noWrap w:val="false"/>
          </w:tcPr>
          <w:p>
            <w:pPr>
              <w:contextualSpacing/>
              <w:jc w:val="center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Мончегорск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contextualSpacing/>
              <w:jc w:val="center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bottom"/>
            <w:textDirection w:val="lrTb"/>
            <w:noWrap w:val="false"/>
          </w:tcPr>
          <w:p>
            <w:pPr>
              <w:contextualSpacing/>
              <w:ind w:left="107" w:hanging="107"/>
              <w:jc w:val="right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contextualSpacing/>
              <w:ind w:left="120" w:hanging="12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80" w:type="dxa"/>
            <w:textDirection w:val="lrTb"/>
            <w:noWrap w:val="false"/>
          </w:tcPr>
          <w:p>
            <w:pPr>
              <w:contextualSpacing/>
              <w:jc w:val="center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96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11"/>
        <w:contextualSpacing/>
        <w:jc w:val="center"/>
        <w:spacing w:line="24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11"/>
        <w:contextualSpacing/>
        <w:jc w:val="center"/>
        <w:spacing w:line="24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11"/>
        <w:contextualSpacing/>
        <w:jc w:val="both"/>
        <w:spacing w:line="24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11"/>
        <w:contextualSpacing/>
        <w:ind w:firstLine="567"/>
        <w:jc w:val="both"/>
        <w:spacing w:line="24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Государственное областное бюджетное учреждение социального обслуживания населения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«Мончегорский дом-интернат»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«Исполнитель»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лице директора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Горбуновой Ирины Александровны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Устава, с одной стороны,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______________________________ (ФИО)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г.р.,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«Заказчик»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документ, удостоверяющий личность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выдан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проживающ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законного представителя __________________________ (ФИО),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г.р., паспорт 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выдан 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проживающ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________________________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 другой стороны,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совместно именуемые в дальнейшем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b/>
          <w:color w:val="000000" w:themeColor="text1"/>
          <w:sz w:val="24"/>
          <w:szCs w:val="24"/>
          <w:lang w:eastAsia="en-US"/>
        </w:rPr>
        <w:t xml:space="preserve">Стороны»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заключили настоящий Договор о нижеследующем.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11"/>
        <w:contextualSpacing/>
        <w:jc w:val="both"/>
        <w:spacing w:line="24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714" w:hanging="357"/>
        <w:jc w:val="center"/>
        <w:spacing w:after="0" w:line="24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ДОГОВОРА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contextualSpacing/>
        <w:ind w:left="714"/>
        <w:spacing w:after="0" w:line="24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поручает, а Исполнитель обязуется оказать социальные услуги Заказчику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письменного заявления Заказчика и индивидуальной программы предоставления социальных услуг, выданной в установленном порядке (далее - Услуги, индивидуальная программа), которая являе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Объем, сроки, условия и периодичность предоставления конкретной Услуги определяются перечнем Услуг в соответствии с индивидуальной программой, и в согласованном Сторонами виде являются приложением к настоящему Договору.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Предоставление Услуг в стационарной форме социального обслуживания осуществляется Исполнителем в условиях ежедневного круглосуточного пребывания на срок, определенный пунктом 15 настоящего Договора.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оказания Услуг: ул. Геологов, д. 24, г. Мончегорск, Мурманская область, 184506.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По результатам оказания Услуг Исполнитель оформляет акт 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настоящего договора.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ВЗАИМОДЕЙСТВИЕ СТОРОН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567" w:leader="none"/>
          <w:tab w:val="left" w:pos="709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обязан: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5.1. предоставлять Заказчику Услуги надлежащего качества в соответствии с порядком предоставления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5.2. предоставлять бесплатно в доступной форме Заказчику (законном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5.3. использовать информацию о Заказчике в соответствии с установленными законодательством Российской Федерации о персональных данных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требованиями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 о защите персональных данных;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5.4. обеспечивать сохранность личных вещей и ценностей Заказчика;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5.5. своевременно и в письменной форме инф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ормировать Заказчика об изменении порядка и условий предоставления Услуг, оказываемых в соответствии с настоящим Договором, а также их оплаты в случае изменения предельной величины среднедушевого дохода, установленной законом субъекта Российской Федерации;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5.6. вести учет Услуг, оказанных Заказчику;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5.7. исполнять иные обязанности в соответствии с настоящим Договором и нормами действующего законодательства.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имеет право: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самостоятельно определять способы и методы оказания Услуг Заказчику;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отказать в предоставлении Услуг Заказчику в случае нарушения им условий настоящего Договора, а также в случае возникновения у Заказчика, получающего Услуги в стационарной форме социального 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обслуживания, медицинских противопоказаний, указанных в заключени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уполномоченной медицинской организации;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требовать от Заказчика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(законного представителя Заказчика)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соблюдения условий настоящего Договора.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red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получать от Заказчика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(законного представителя Заказчика)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(законным представителем Заказчика)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такой информации (сведений, документов), Исполнитель вправе приостановить исполнение своих обязательств либо отказаться от исполнения своих обязательств по настоящему Договору до предоставления требуемой информации (сведений, документов);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отказать в предоставлении Услуг при повторном обращении в Учреждение в течение одного календарного года;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 запретить законному представителю встречи с Заказчиком при несоблюдении им требований, установленными пунктом 8.3. пункта 8 настоящего Договора, а также в случае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неблагоприятного санитарно-эпидемиологического состояния;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принять соответствующие меры в случае неоднократного невыполнения Заказчиком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(законным представителем Заказчика)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требований, указанных в подпунктах 8.3., 8.8., 8.9., а также в случае невыполнения подпункта 8.10. пункта 8 настоящего Договора;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6.8. изменить размер оплаты Услуг, установленный в </w:t>
      </w:r>
      <w:hyperlink r:id="rId13" w:tooltip="consultantplus://offline/ref=91B9D1F690919101918CB6FE7D4C0F8E57F863F0AFDA11149571E784A3D529853FD43D720110282E30V7I" w:history="1">
        <w:r>
          <w:rPr>
            <w:rFonts w:ascii="Times New Roman" w:hAnsi="Times New Roman" w:cs="Times New Roman" w:eastAsiaTheme="minorHAnsi"/>
            <w:color w:val="000000" w:themeColor="text1"/>
            <w:sz w:val="24"/>
            <w:szCs w:val="24"/>
          </w:rPr>
          <w:t xml:space="preserve">разделе III</w:t>
        </w:r>
      </w:hyperlink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настоящего Договора, в случае изменения среднедушевого дохода Заказчика и (или) предельной величины среднедушевого дохода, установленной законом субъекта Российской Федерации, известив об этом письменно Заказчика в течение двух дней со дня таких изменений.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Исполнитель не вправе передавать исполнение обязательств по настоящему Договору третьим лицам.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(законный представитель Заказчика) обязан: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8.1. соблюдать сроки и условия настоящего Договора;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8.2. своевременно представлять в соответствии с нормативными правовыми актами субъекта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дохода для предоставления социальных услуг бесплатно в целях реализации Федерального </w:t>
      </w:r>
      <w:hyperlink r:id="rId14" w:tooltip="consultantplus://offline/ref=638BC75184316F3AE37146999C1F91785012C5EDE153B3840C8A92BC4Bd4X9I" w:history="1">
        <w:r>
          <w:rPr>
            <w:rFonts w:ascii="Times New Roman" w:hAnsi="Times New Roman" w:cs="Times New Roman" w:eastAsiaTheme="minorHAnsi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 от 28 декабря 2013 г. № 442-ФЗ «Об основах социального обслуживания граждан в Российской Федерации» в соответствии с </w:t>
      </w:r>
      <w:hyperlink r:id="rId15" w:tooltip="consultantplus://offline/ref=638BC75184316F3AE37146999C1F91785013C3EDE45FB3840C8A92BC4B495CC3E2509E78DBFA16C5d1X7I" w:history="1">
        <w:r>
          <w:rPr>
            <w:rFonts w:ascii="Times New Roman" w:hAnsi="Times New Roman" w:cs="Times New Roman" w:eastAsiaTheme="minorHAnsi"/>
            <w:color w:val="000000" w:themeColor="text1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№ 1075;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8.3. посещать Заказчика в месте оказания Услуг в заранее согласованное с Исполнителем время в соответствии с режимом дня не менее двух раз в месяц, в том числе в целях проведения совместного досуга, в чистом, опрятном виде и трезвом состоянии;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8.4. принимать участие в воспитании, нравственном и физическом развитии Заказчика;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8.5. обеспечивать сопровождение и уход за Заказчиком путем совместного нахождения с ним в медицинском учреждении при помещении Заказчика в медицинское учреждение для оказания ему медицинской помощи в стационарных условиях в течение всего периода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нахождения его в таком учреждении за исключением случаев, когда это невозможно по объективным причинам, о которых Исполнитель должен быть проинформирован незамедлительно;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8.6. забирать Заказчика на временное выбытие (в домашний отпуск), если это не противоречит интересам и состоянию Заказчика не менее двух раз в год на срок от 10 дней;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8.7. вести себя в соответствии с общепринятыми нормами поведения в месте оказания Услуг,  уважительно относится к работникам Исполнителя, бережно относиться к имуществу Исполнителя;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8.8. приходить на консультации по вызову специалистов Исполнителя;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8.9. добросовестно и своевременно выполнять рекомендации специалистов Исполнителя;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8.10. по окончании срока предоставления Услуги, определенного в пункте 15 настоящего Договора, забрать Заказчика;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8.11. информировать в письменной форме Исполнителя об изменении места жительства и (или) иной контактной информации в течение 10 дней с момента наступления факта изменения;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8.12. своевременно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8.13. уведомлять в письменной форме Исполнителя об отказе от получения Услуг, предусмотренных настоящим Договором;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8.14.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8.15. оплачивать Услуги в объеме и на условиях, которые предусмотрены настоящим Договором - в случае предоставления социальных услуг за плату, в том числе частичную;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8.16. соблюдать порядок предоставления социальных услуг, соответствующий форме социального обслуживания, технику безопасности в месте оказания Услуги;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8.17. сообщать Исполнителю о выявленных нарушениях порядка предоставления социальных услуг, утвержденного уполномоченным органом государственной власти;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8.18. ежемесячно, в период с 15 по 25 число месяца, следующего за 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отчетным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, подписывать акт сдачи-приемки оказанных Услуг по месту оказания Услуг;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pP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  <w:t xml:space="preserve">8.19. возместить ущерб, причиненный имуществу Исполнителя.</w:t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  <w:r>
        <w:rPr>
          <w:rFonts w:ascii="Times New Roman" w:hAnsi="Times New Roman" w:cs="Times New Roman" w:eastAsiaTheme="minorHAnsi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 (законный представитель Заказчика) имеет право: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85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навещать Заказчика в месте оказания Услуги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подпункта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8.3. Пункта 8 настоящего Договора;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на получение 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отказаться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путем подачи письменного заявления, с отметкой в индивидуальной программе.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потребовать расторжения настоящего Договора при нарушении Исполнителем условий настоящего Договора.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СТОИМОСТЬ УСЛУГ, СРОКИ И ПОРЯДОК ИХ ОПЛАТЫ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spacing w:after="0" w:line="242" w:lineRule="auto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части 1 статьи 31 Федерального Закона от 28.12.2013 № 442-ФЗ «Об основах социального обслуживания граждан в Российской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Федерации» и части 1 статьи 10 Закона Мурманской области от 19.12.2014 № 1818-01-ЗМО «О социальном обслуживании граждан Мурманской области», социальные услуги в стационарной форме социального обслуживания несовершеннолетним детям предоставляются бесплатно.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ОСНОВАНИЯ ИЗМЕНЕНИЯ И РАСТОРЖЕНИЯ ДОГОВОРА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ОТВЕТСТВЕННОСТЬ ЗА НЕИСПОЛНЕНИЕ ИЛИ НЕНАДЛЕЖАЩЕЕ ИСПОЛНЕНИЕ ОБЯЗАТЕЛЬСТВ ПО ДОГОВОРУ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СРОК ДЕЙСТВИЯ ДОГОВОРА И ДРУГИЕ УСЛОВИЯ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contextualSpacing/>
        <w:ind w:left="0" w:firstLine="567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вступает в силу со дня его подписания Сторонами и действует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Договор составлен в двух экземплярах, имеющих равную юридическую силу, один из которых находится у Исполнителя, другой – у законного представителя Получателя - Заказчика.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0"/>
        </w:numPr>
        <w:contextualSpacing/>
        <w:ind w:left="0" w:firstLine="567"/>
        <w:jc w:val="both"/>
        <w:spacing w:after="0" w:line="242" w:lineRule="auto"/>
        <w:tabs>
          <w:tab w:val="left" w:pos="284" w:leader="none"/>
          <w:tab w:val="left" w:pos="426" w:leader="none"/>
          <w:tab w:val="left" w:pos="992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contextualSpacing/>
        <w:ind w:left="710"/>
        <w:jc w:val="both"/>
        <w:spacing w:after="0" w:line="242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8"/>
        <w:numPr>
          <w:ilvl w:val="0"/>
          <w:numId w:val="1"/>
        </w:numPr>
        <w:contextualSpacing/>
        <w:ind w:left="0" w:firstLine="567"/>
        <w:jc w:val="center"/>
        <w:spacing w:after="0" w:line="24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АДРЕСА, РЕКВИЗИТЫ И ПОДПИСИ СТОРОН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contextualSpacing/>
        <w:jc w:val="center"/>
        <w:spacing w:after="0" w:line="24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912"/>
        <w:tblW w:w="10281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803"/>
        <w:gridCol w:w="2675"/>
        <w:gridCol w:w="2376"/>
      </w:tblGrid>
      <w:tr>
        <w:tblPrEx/>
        <w:trPr/>
        <w:tc>
          <w:tcPr>
            <w:gridSpan w:val="2"/>
            <w:tcW w:w="5231" w:type="dxa"/>
            <w:vMerge w:val="restart"/>
            <w:textDirection w:val="lrTb"/>
            <w:noWrap w:val="false"/>
          </w:tcPr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Государственное областное бюджетное учреждение социального обслуживания населения «Мончегорский дом-интернат»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(место нахождения): 184506, Мурманская обл., г. Мончегорск, ул. Геологов, дом 24.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E-mail: mdiod@yandex.ru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финансов Мурманской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(ГОБУСОН «Мончегорский дом-интернат»,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л/сч 802У5535001)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 5107010346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КПП 510701001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ЕКС 40102810745370000024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Казначейский счет 03224643470000003200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ОКЦ № 1 ВВГУ Банка России//УФК по Нижегородской области г. Нижний Новгород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БИК ТОФК 012202102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 1025100655469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Тел.(81536) 3-49-41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5051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52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5051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Законный представитель: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</w:r>
          </w:p>
          <w:p>
            <w:pPr>
              <w:pStyle w:val="908"/>
              <w:contextualSpacing/>
              <w:ind w:left="0"/>
              <w:tabs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428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jc w:val="both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И.А. Горбунова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675" w:type="dxa"/>
            <w:textDirection w:val="lrTb"/>
            <w:noWrap w:val="false"/>
          </w:tcPr>
          <w:p>
            <w:r/>
            <w:r/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spacing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428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803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jc w:val="center"/>
              <w:spacing w:line="242" w:lineRule="auto"/>
              <w:tabs>
                <w:tab w:val="left" w:pos="709" w:leader="none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W w:w="2675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spacing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376" w:type="dxa"/>
            <w:textDirection w:val="lrTb"/>
            <w:noWrap w:val="false"/>
          </w:tcPr>
          <w:p>
            <w:pPr>
              <w:pStyle w:val="908"/>
              <w:contextualSpacing/>
              <w:ind w:left="0"/>
              <w:jc w:val="center"/>
              <w:spacing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77" w:right="707" w:bottom="993" w:left="1134" w:header="426" w:footer="2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fldSimple w:instr="PAGE \* MERGEFORMAT">
      <w:r>
        <w:t xml:space="preserve">1</w:t>
      </w:r>
    </w:fldSimple>
    <w:r/>
    <w:r/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177" w:firstLine="2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67" w:firstLine="284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rPr>
      <w:rFonts w:ascii="Calibri" w:hAnsi="Calibri" w:eastAsia="Calibri" w:cs="Calibri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Title Char"/>
    <w:basedOn w:val="724"/>
    <w:link w:val="752"/>
    <w:uiPriority w:val="10"/>
    <w:rPr>
      <w:sz w:val="48"/>
      <w:szCs w:val="48"/>
    </w:rPr>
  </w:style>
  <w:style w:type="character" w:styleId="728" w:customStyle="1">
    <w:name w:val="Subtitle Char"/>
    <w:basedOn w:val="724"/>
    <w:link w:val="754"/>
    <w:uiPriority w:val="11"/>
    <w:rPr>
      <w:sz w:val="24"/>
      <w:szCs w:val="24"/>
    </w:rPr>
  </w:style>
  <w:style w:type="character" w:styleId="729" w:customStyle="1">
    <w:name w:val="Quote Char"/>
    <w:link w:val="756"/>
    <w:uiPriority w:val="29"/>
    <w:rPr>
      <w:i/>
    </w:rPr>
  </w:style>
  <w:style w:type="character" w:styleId="730" w:customStyle="1">
    <w:name w:val="Intense Quote Char"/>
    <w:link w:val="758"/>
    <w:uiPriority w:val="30"/>
    <w:rPr>
      <w:i/>
    </w:rPr>
  </w:style>
  <w:style w:type="character" w:styleId="731" w:customStyle="1">
    <w:name w:val="Footnote Text Char"/>
    <w:link w:val="891"/>
    <w:uiPriority w:val="99"/>
    <w:rPr>
      <w:sz w:val="18"/>
    </w:rPr>
  </w:style>
  <w:style w:type="character" w:styleId="732" w:customStyle="1">
    <w:name w:val="Endnote Text Char"/>
    <w:link w:val="894"/>
    <w:uiPriority w:val="99"/>
    <w:rPr>
      <w:sz w:val="20"/>
    </w:rPr>
  </w:style>
  <w:style w:type="paragraph" w:styleId="733" w:customStyle="1">
    <w:name w:val="Heading 1"/>
    <w:basedOn w:val="723"/>
    <w:next w:val="723"/>
    <w:link w:val="73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34" w:customStyle="1">
    <w:name w:val="Heading 1 Char"/>
    <w:basedOn w:val="724"/>
    <w:link w:val="733"/>
    <w:uiPriority w:val="9"/>
    <w:rPr>
      <w:rFonts w:ascii="Arial" w:hAnsi="Arial" w:eastAsia="Arial" w:cs="Arial"/>
      <w:sz w:val="40"/>
      <w:szCs w:val="40"/>
    </w:rPr>
  </w:style>
  <w:style w:type="paragraph" w:styleId="735" w:customStyle="1">
    <w:name w:val="Heading 2"/>
    <w:basedOn w:val="723"/>
    <w:next w:val="723"/>
    <w:link w:val="7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36" w:customStyle="1">
    <w:name w:val="Heading 2 Char"/>
    <w:basedOn w:val="724"/>
    <w:link w:val="735"/>
    <w:uiPriority w:val="9"/>
    <w:rPr>
      <w:rFonts w:ascii="Arial" w:hAnsi="Arial" w:eastAsia="Arial" w:cs="Arial"/>
      <w:sz w:val="34"/>
    </w:rPr>
  </w:style>
  <w:style w:type="paragraph" w:styleId="737" w:customStyle="1">
    <w:name w:val="Heading 3"/>
    <w:basedOn w:val="723"/>
    <w:next w:val="723"/>
    <w:link w:val="7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38" w:customStyle="1">
    <w:name w:val="Heading 3 Char"/>
    <w:basedOn w:val="724"/>
    <w:link w:val="737"/>
    <w:uiPriority w:val="9"/>
    <w:rPr>
      <w:rFonts w:ascii="Arial" w:hAnsi="Arial" w:eastAsia="Arial" w:cs="Arial"/>
      <w:sz w:val="30"/>
      <w:szCs w:val="30"/>
    </w:rPr>
  </w:style>
  <w:style w:type="paragraph" w:styleId="739" w:customStyle="1">
    <w:name w:val="Heading 4"/>
    <w:basedOn w:val="723"/>
    <w:next w:val="723"/>
    <w:link w:val="74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4 Char"/>
    <w:basedOn w:val="724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 w:customStyle="1">
    <w:name w:val="Heading 5"/>
    <w:basedOn w:val="723"/>
    <w:next w:val="723"/>
    <w:link w:val="74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5 Char"/>
    <w:basedOn w:val="724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 w:customStyle="1">
    <w:name w:val="Heading 6"/>
    <w:basedOn w:val="723"/>
    <w:next w:val="723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44" w:customStyle="1">
    <w:name w:val="Heading 6 Char"/>
    <w:basedOn w:val="724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 w:customStyle="1">
    <w:name w:val="Heading 7"/>
    <w:basedOn w:val="723"/>
    <w:next w:val="723"/>
    <w:link w:val="74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46" w:customStyle="1">
    <w:name w:val="Heading 7 Char"/>
    <w:basedOn w:val="724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 w:customStyle="1">
    <w:name w:val="Heading 8"/>
    <w:basedOn w:val="723"/>
    <w:next w:val="723"/>
    <w:link w:val="74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48" w:customStyle="1">
    <w:name w:val="Heading 8 Char"/>
    <w:basedOn w:val="724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 w:customStyle="1">
    <w:name w:val="Heading 9"/>
    <w:basedOn w:val="723"/>
    <w:next w:val="723"/>
    <w:link w:val="75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Heading 9 Char"/>
    <w:basedOn w:val="724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  <w:pPr>
      <w:spacing w:after="0" w:line="240" w:lineRule="auto"/>
    </w:pPr>
  </w:style>
  <w:style w:type="paragraph" w:styleId="752">
    <w:name w:val="Title"/>
    <w:basedOn w:val="723"/>
    <w:next w:val="723"/>
    <w:link w:val="753"/>
    <w:uiPriority w:val="10"/>
    <w:qFormat/>
    <w:pPr>
      <w:contextualSpacing/>
      <w:spacing w:before="300"/>
    </w:pPr>
    <w:rPr>
      <w:sz w:val="48"/>
      <w:szCs w:val="48"/>
    </w:rPr>
  </w:style>
  <w:style w:type="character" w:styleId="753" w:customStyle="1">
    <w:name w:val="Название Знак"/>
    <w:basedOn w:val="724"/>
    <w:link w:val="752"/>
    <w:uiPriority w:val="10"/>
    <w:rPr>
      <w:sz w:val="48"/>
      <w:szCs w:val="48"/>
    </w:rPr>
  </w:style>
  <w:style w:type="paragraph" w:styleId="754">
    <w:name w:val="Subtitle"/>
    <w:basedOn w:val="723"/>
    <w:next w:val="723"/>
    <w:link w:val="755"/>
    <w:uiPriority w:val="11"/>
    <w:qFormat/>
    <w:pPr>
      <w:spacing w:before="200"/>
    </w:pPr>
    <w:rPr>
      <w:sz w:val="24"/>
      <w:szCs w:val="24"/>
    </w:rPr>
  </w:style>
  <w:style w:type="character" w:styleId="755" w:customStyle="1">
    <w:name w:val="Подзаголовок Знак"/>
    <w:basedOn w:val="724"/>
    <w:link w:val="754"/>
    <w:uiPriority w:val="11"/>
    <w:rPr>
      <w:sz w:val="24"/>
      <w:szCs w:val="24"/>
    </w:rPr>
  </w:style>
  <w:style w:type="paragraph" w:styleId="756">
    <w:name w:val="Quote"/>
    <w:basedOn w:val="723"/>
    <w:next w:val="723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3"/>
    <w:next w:val="723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 w:customStyle="1">
    <w:name w:val="Header"/>
    <w:basedOn w:val="723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 w:customStyle="1">
    <w:name w:val="Header Char"/>
    <w:basedOn w:val="724"/>
    <w:link w:val="760"/>
    <w:uiPriority w:val="99"/>
  </w:style>
  <w:style w:type="paragraph" w:styleId="762" w:customStyle="1">
    <w:name w:val="Footer"/>
    <w:basedOn w:val="723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 w:customStyle="1">
    <w:name w:val="Footer Char"/>
    <w:basedOn w:val="724"/>
    <w:link w:val="762"/>
    <w:uiPriority w:val="99"/>
  </w:style>
  <w:style w:type="paragraph" w:styleId="764" w:customStyle="1">
    <w:name w:val="Caption"/>
    <w:basedOn w:val="723"/>
    <w:next w:val="723"/>
    <w:link w:val="76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5" w:customStyle="1">
    <w:name w:val="Caption Char"/>
    <w:link w:val="764"/>
    <w:uiPriority w:val="99"/>
  </w:style>
  <w:style w:type="table" w:styleId="766" w:customStyle="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 w:customStyle="1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 w:customStyle="1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 w:customStyle="1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basedOn w:val="72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1">
    <w:name w:val="footnote text"/>
    <w:basedOn w:val="723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basedOn w:val="724"/>
    <w:uiPriority w:val="99"/>
    <w:unhideWhenUsed/>
    <w:rPr>
      <w:vertAlign w:val="superscript"/>
    </w:rPr>
  </w:style>
  <w:style w:type="paragraph" w:styleId="894">
    <w:name w:val="endnote text"/>
    <w:basedOn w:val="723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24"/>
    <w:uiPriority w:val="99"/>
    <w:semiHidden/>
    <w:unhideWhenUsed/>
    <w:rPr>
      <w:vertAlign w:val="superscript"/>
    </w:rPr>
  </w:style>
  <w:style w:type="paragraph" w:styleId="897">
    <w:name w:val="toc 1"/>
    <w:basedOn w:val="723"/>
    <w:next w:val="723"/>
    <w:uiPriority w:val="39"/>
    <w:unhideWhenUsed/>
    <w:pPr>
      <w:spacing w:after="57"/>
    </w:pPr>
  </w:style>
  <w:style w:type="paragraph" w:styleId="898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899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00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01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02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03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04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05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3"/>
    <w:next w:val="723"/>
    <w:uiPriority w:val="99"/>
    <w:unhideWhenUsed/>
    <w:pPr>
      <w:spacing w:after="0"/>
    </w:pPr>
  </w:style>
  <w:style w:type="paragraph" w:styleId="908">
    <w:name w:val="List Paragraph"/>
    <w:basedOn w:val="723"/>
    <w:uiPriority w:val="99"/>
    <w:qFormat/>
    <w:pPr>
      <w:ind w:left="720"/>
    </w:pPr>
  </w:style>
  <w:style w:type="character" w:styleId="909">
    <w:name w:val="Hyperlink"/>
    <w:basedOn w:val="724"/>
    <w:uiPriority w:val="99"/>
    <w:rPr>
      <w:color w:val="000000"/>
      <w:u w:val="single"/>
    </w:rPr>
  </w:style>
  <w:style w:type="paragraph" w:styleId="910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91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912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ref=91B9D1F690919101918CB6FE7D4C0F8E57F863F0AFDA11149571E784A3D529853FD43D720110282E30V7I" TargetMode="External"/><Relationship Id="rId14" Type="http://schemas.openxmlformats.org/officeDocument/2006/relationships/hyperlink" Target="consultantplus://offline/ref=638BC75184316F3AE37146999C1F91785012C5EDE153B3840C8A92BC4Bd4X9I" TargetMode="External"/><Relationship Id="rId15" Type="http://schemas.openxmlformats.org/officeDocument/2006/relationships/hyperlink" Target="consultantplus://offline/ref=638BC75184316F3AE37146999C1F91785013C3EDE45FB3840C8A92BC4B495CC3E2509E78DBFA16C5d1X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EBD0-C388-4882-B0A9-783EE229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KorotkihNI</cp:lastModifiedBy>
  <cp:revision>8</cp:revision>
  <dcterms:created xsi:type="dcterms:W3CDTF">2025-12-22T13:27:00Z</dcterms:created>
  <dcterms:modified xsi:type="dcterms:W3CDTF">2026-04-30T11:49:19Z</dcterms:modified>
</cp:coreProperties>
</file>